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D3C30" w14:textId="207F7421" w:rsidR="006305A0" w:rsidRPr="009E3BA2" w:rsidRDefault="006305A0" w:rsidP="009E3BA2">
      <w:pPr>
        <w:widowControl/>
        <w:spacing w:line="360" w:lineRule="auto"/>
        <w:jc w:val="center"/>
        <w:rPr>
          <w:rFonts w:ascii="宋体" w:eastAsia="宋体" w:hAnsi="宋体" w:cs="宋体"/>
          <w:b/>
          <w:bCs/>
          <w:color w:val="000000"/>
          <w:kern w:val="0"/>
          <w:sz w:val="32"/>
          <w:szCs w:val="32"/>
        </w:rPr>
      </w:pPr>
      <w:r w:rsidRPr="009E3BA2">
        <w:rPr>
          <w:rFonts w:ascii="宋体" w:eastAsia="宋体" w:hAnsi="宋体" w:cs="宋体"/>
          <w:b/>
          <w:bCs/>
          <w:color w:val="000000"/>
          <w:kern w:val="0"/>
          <w:sz w:val="32"/>
          <w:szCs w:val="32"/>
        </w:rPr>
        <w:t>投资者风险告知函</w:t>
      </w:r>
    </w:p>
    <w:p w14:paraId="491ADFE5" w14:textId="77777777" w:rsidR="006305A0" w:rsidRDefault="006305A0" w:rsidP="00AE6326">
      <w:pPr>
        <w:widowControl/>
        <w:spacing w:line="360" w:lineRule="auto"/>
        <w:jc w:val="left"/>
        <w:rPr>
          <w:rFonts w:ascii="宋体" w:eastAsia="宋体" w:hAnsi="宋体" w:cs="宋体"/>
          <w:b/>
          <w:bCs/>
          <w:color w:val="000000"/>
          <w:kern w:val="0"/>
          <w:sz w:val="24"/>
          <w:szCs w:val="24"/>
        </w:rPr>
      </w:pPr>
    </w:p>
    <w:p w14:paraId="5053D669" w14:textId="77777777" w:rsidR="00AE6326" w:rsidRPr="00AE6326" w:rsidRDefault="00AE6326" w:rsidP="00AE6326">
      <w:pPr>
        <w:widowControl/>
        <w:spacing w:line="360" w:lineRule="auto"/>
        <w:jc w:val="left"/>
        <w:rPr>
          <w:rFonts w:ascii="&amp;quot" w:eastAsia="宋体" w:hAnsi="&amp;quot" w:cs="宋体" w:hint="eastAsia"/>
          <w:color w:val="000000"/>
          <w:kern w:val="0"/>
          <w:szCs w:val="21"/>
        </w:rPr>
      </w:pPr>
      <w:r w:rsidRPr="00AE6326">
        <w:rPr>
          <w:rFonts w:ascii="宋体" w:eastAsia="宋体" w:hAnsi="宋体" w:cs="宋体" w:hint="eastAsia"/>
          <w:b/>
          <w:bCs/>
          <w:color w:val="000000"/>
          <w:kern w:val="0"/>
          <w:sz w:val="24"/>
          <w:szCs w:val="24"/>
        </w:rPr>
        <w:t>尊敬的基金投资人：</w:t>
      </w:r>
    </w:p>
    <w:p w14:paraId="3B55478C" w14:textId="4AB3FDFE" w:rsidR="00AE6326" w:rsidRPr="00AE6326" w:rsidRDefault="00AE6326" w:rsidP="00AE6326">
      <w:pPr>
        <w:widowControl/>
        <w:spacing w:line="360" w:lineRule="auto"/>
        <w:ind w:firstLine="482"/>
        <w:jc w:val="left"/>
        <w:rPr>
          <w:rFonts w:ascii="&amp;quot" w:eastAsia="宋体" w:hAnsi="&amp;quot" w:cs="宋体" w:hint="eastAsia"/>
          <w:color w:val="000000"/>
          <w:kern w:val="0"/>
          <w:szCs w:val="21"/>
        </w:rPr>
      </w:pPr>
      <w:r w:rsidRPr="00AE6326">
        <w:rPr>
          <w:rFonts w:ascii="宋体" w:eastAsia="宋体" w:hAnsi="宋体" w:cs="宋体" w:hint="eastAsia"/>
          <w:b/>
          <w:bCs/>
          <w:color w:val="000000"/>
          <w:kern w:val="0"/>
          <w:sz w:val="24"/>
          <w:szCs w:val="24"/>
        </w:rPr>
        <w:t>基金投资在获取收益的同时存在投资风险，可能会导致本金亏损。为了保护您的合法权益，特向您告知如下信息及风险，请在投资基金前认真阅读：</w:t>
      </w:r>
    </w:p>
    <w:p w14:paraId="51A691B0" w14:textId="77777777" w:rsidR="00AE6326" w:rsidRPr="00AE6326" w:rsidRDefault="00AE6326" w:rsidP="00AE6326">
      <w:pPr>
        <w:widowControl/>
        <w:spacing w:line="360" w:lineRule="auto"/>
        <w:jc w:val="left"/>
        <w:rPr>
          <w:rFonts w:ascii="&amp;quot" w:eastAsia="宋体" w:hAnsi="&amp;quot" w:cs="宋体" w:hint="eastAsia"/>
          <w:color w:val="000000"/>
          <w:kern w:val="0"/>
          <w:szCs w:val="21"/>
        </w:rPr>
      </w:pPr>
      <w:r w:rsidRPr="00AE6326">
        <w:rPr>
          <w:rFonts w:ascii="宋体" w:eastAsia="宋体" w:hAnsi="宋体" w:cs="宋体" w:hint="eastAsia"/>
          <w:color w:val="000000"/>
          <w:kern w:val="0"/>
          <w:sz w:val="24"/>
          <w:szCs w:val="24"/>
        </w:rPr>
        <w:t>1、证券投资基金是一种长期投资工具，其主要功能是分散投资，降低投资单一证券所带来的个别风险。但基金不同于银行储蓄和债券等能够提供固定收益预期的金融工具，投资人购买基金，既可能按其持有份额分享基金投资所产生的收益，也可能承担基金投资所带来的本金亏损。</w:t>
      </w:r>
    </w:p>
    <w:p w14:paraId="6FFEAB95" w14:textId="26E4D6E2" w:rsidR="00611556" w:rsidRPr="00CA6C5B" w:rsidRDefault="00AE6326" w:rsidP="00AE6326">
      <w:pPr>
        <w:widowControl/>
        <w:spacing w:line="360" w:lineRule="auto"/>
        <w:jc w:val="left"/>
        <w:rPr>
          <w:rFonts w:ascii="&amp;quot" w:eastAsia="宋体" w:hAnsi="&amp;quot" w:cs="宋体" w:hint="eastAsia"/>
          <w:color w:val="000000"/>
          <w:kern w:val="0"/>
          <w:szCs w:val="21"/>
        </w:rPr>
      </w:pPr>
      <w:r w:rsidRPr="00AE6326">
        <w:rPr>
          <w:rFonts w:ascii="宋体" w:eastAsia="宋体" w:hAnsi="宋体" w:cs="宋体" w:hint="eastAsia"/>
          <w:color w:val="000000"/>
          <w:kern w:val="0"/>
          <w:sz w:val="24"/>
          <w:szCs w:val="24"/>
        </w:rPr>
        <w:t>2、基金在投资运作过程中可能面临各种风险，可能会导致本金亏损。风险既包括市场风险，也包括基金自身的管理风险、技术风险和合规风险等。巨额赎回风险是开放式基金所特有的一种风险，即当单个交易日基金的净赎回申请超过基金总份额的</w:t>
      </w:r>
      <w:r w:rsidR="00283D4D">
        <w:rPr>
          <w:rFonts w:ascii="宋体" w:eastAsia="宋体" w:hAnsi="宋体" w:cs="宋体" w:hint="eastAsia"/>
          <w:color w:val="000000"/>
          <w:kern w:val="0"/>
          <w:sz w:val="24"/>
          <w:szCs w:val="24"/>
        </w:rPr>
        <w:t>一定比例</w:t>
      </w:r>
      <w:r w:rsidRPr="00AE6326">
        <w:rPr>
          <w:rFonts w:ascii="宋体" w:eastAsia="宋体" w:hAnsi="宋体" w:cs="宋体" w:hint="eastAsia"/>
          <w:color w:val="000000"/>
          <w:kern w:val="0"/>
          <w:sz w:val="24"/>
          <w:szCs w:val="24"/>
        </w:rPr>
        <w:t>时</w:t>
      </w:r>
      <w:r w:rsidR="00092E63">
        <w:rPr>
          <w:rFonts w:ascii="宋体" w:eastAsia="宋体" w:hAnsi="宋体" w:cs="宋体" w:hint="eastAsia"/>
          <w:color w:val="000000"/>
          <w:kern w:val="0"/>
          <w:sz w:val="24"/>
          <w:szCs w:val="24"/>
        </w:rPr>
        <w:t>（</w:t>
      </w:r>
      <w:r w:rsidR="00092E63" w:rsidRPr="00092E63">
        <w:rPr>
          <w:rFonts w:ascii="宋体" w:eastAsia="宋体" w:hAnsi="宋体" w:cs="宋体" w:hint="eastAsia"/>
          <w:color w:val="000000"/>
          <w:kern w:val="0"/>
          <w:sz w:val="24"/>
          <w:szCs w:val="24"/>
        </w:rPr>
        <w:t>开放式基金为百分之十，定期开放基金为百分之二十，中国证监会规定的特殊产品除外</w:t>
      </w:r>
      <w:r w:rsidR="00092E63">
        <w:rPr>
          <w:rFonts w:ascii="宋体" w:eastAsia="宋体" w:hAnsi="宋体" w:cs="宋体" w:hint="eastAsia"/>
          <w:color w:val="000000"/>
          <w:kern w:val="0"/>
          <w:sz w:val="24"/>
          <w:szCs w:val="24"/>
        </w:rPr>
        <w:t>）</w:t>
      </w:r>
      <w:r w:rsidRPr="00AE6326">
        <w:rPr>
          <w:rFonts w:ascii="宋体" w:eastAsia="宋体" w:hAnsi="宋体" w:cs="宋体" w:hint="eastAsia"/>
          <w:color w:val="000000"/>
          <w:kern w:val="0"/>
          <w:sz w:val="24"/>
          <w:szCs w:val="24"/>
        </w:rPr>
        <w:t>，投资人将可能无法及时赎回</w:t>
      </w:r>
      <w:r w:rsidR="00092E63">
        <w:rPr>
          <w:rFonts w:ascii="宋体" w:eastAsia="宋体" w:hAnsi="宋体" w:cs="宋体"/>
          <w:color w:val="000000"/>
          <w:kern w:val="0"/>
          <w:sz w:val="24"/>
          <w:szCs w:val="24"/>
        </w:rPr>
        <w:t>申请</w:t>
      </w:r>
      <w:r w:rsidRPr="00AE6326">
        <w:rPr>
          <w:rFonts w:ascii="宋体" w:eastAsia="宋体" w:hAnsi="宋体" w:cs="宋体" w:hint="eastAsia"/>
          <w:color w:val="000000"/>
          <w:kern w:val="0"/>
          <w:sz w:val="24"/>
          <w:szCs w:val="24"/>
        </w:rPr>
        <w:t>的全部基金份额</w:t>
      </w:r>
      <w:r w:rsidR="00EF528A">
        <w:rPr>
          <w:rFonts w:ascii="宋体" w:eastAsia="宋体" w:hAnsi="宋体" w:cs="宋体"/>
          <w:color w:val="000000"/>
          <w:kern w:val="0"/>
          <w:sz w:val="24"/>
          <w:szCs w:val="24"/>
        </w:rPr>
        <w:t>，或者赎回的款项可能延缓支付</w:t>
      </w:r>
      <w:r w:rsidRPr="00AE6326">
        <w:rPr>
          <w:rFonts w:ascii="宋体" w:eastAsia="宋体" w:hAnsi="宋体" w:cs="宋体" w:hint="eastAsia"/>
          <w:color w:val="000000"/>
          <w:kern w:val="0"/>
          <w:sz w:val="24"/>
          <w:szCs w:val="24"/>
        </w:rPr>
        <w:t>。</w:t>
      </w:r>
      <w:r w:rsidR="00EF528A" w:rsidRPr="00EF528A">
        <w:rPr>
          <w:rFonts w:ascii="宋体" w:eastAsia="宋体" w:hAnsi="宋体" w:cs="宋体" w:hint="eastAsia"/>
          <w:color w:val="000000"/>
          <w:kern w:val="0"/>
          <w:sz w:val="24"/>
          <w:szCs w:val="24"/>
        </w:rPr>
        <w:t>如果投资人购买的基金投资于境外证券，除了需要承担与境内证券投资基金类似的市场波动风险等一般投资风险之外，基金还面临汇率风险等境外证券市场投资所面临的特别投资风险。如果投资人购买的基金以定期开放方式运作或者基金合同约定了基金份额最短持有期限，在封闭期或者最短持有期限内，投资人将面临因不能赎回或卖出基金份额而出现的流动性约束。</w:t>
      </w:r>
    </w:p>
    <w:p w14:paraId="0DACBDDE" w14:textId="6BBD1297" w:rsidR="00AE6326" w:rsidRPr="00AE6326" w:rsidRDefault="00AE6326" w:rsidP="00AE6326">
      <w:pPr>
        <w:widowControl/>
        <w:spacing w:line="360" w:lineRule="auto"/>
        <w:jc w:val="left"/>
        <w:rPr>
          <w:rFonts w:ascii="&amp;quot" w:eastAsia="宋体" w:hAnsi="&amp;quot" w:cs="宋体" w:hint="eastAsia"/>
          <w:color w:val="000000"/>
          <w:kern w:val="0"/>
          <w:szCs w:val="21"/>
        </w:rPr>
      </w:pPr>
      <w:r w:rsidRPr="00AE6326">
        <w:rPr>
          <w:rFonts w:ascii="宋体" w:eastAsia="宋体" w:hAnsi="宋体" w:cs="宋体" w:hint="eastAsia"/>
          <w:color w:val="000000"/>
          <w:kern w:val="0"/>
          <w:sz w:val="24"/>
          <w:szCs w:val="24"/>
        </w:rPr>
        <w:t>3、基金投资人应当充分了解基金定期定额投资和零存整取等储蓄方式的区别。基金定期定额投资也可能导致本金亏损，它是投资人进行长期投资、平均投资成本的一种简单易行的投资方式，但并不能规避基金投资所固有的风险，不能保证投资人获得收益，也不是替代储蓄的等效理财方式。</w:t>
      </w:r>
    </w:p>
    <w:p w14:paraId="36FC9C54" w14:textId="1F860079" w:rsidR="00AE6326" w:rsidRDefault="00AE6326" w:rsidP="00AE6326">
      <w:pPr>
        <w:widowControl/>
        <w:spacing w:line="360" w:lineRule="auto"/>
        <w:jc w:val="left"/>
        <w:rPr>
          <w:rFonts w:ascii="宋体" w:eastAsia="宋体" w:hAnsi="宋体" w:cs="宋体"/>
          <w:color w:val="000000"/>
          <w:kern w:val="0"/>
          <w:sz w:val="24"/>
          <w:szCs w:val="24"/>
        </w:rPr>
      </w:pPr>
      <w:r w:rsidRPr="00AE6326">
        <w:rPr>
          <w:rFonts w:ascii="宋体" w:eastAsia="宋体" w:hAnsi="宋体" w:cs="宋体" w:hint="eastAsia"/>
          <w:color w:val="000000"/>
          <w:kern w:val="0"/>
          <w:sz w:val="24"/>
          <w:szCs w:val="24"/>
        </w:rPr>
        <w:t>4、基金网上交易的特有风险也可能导致投资人本金损失，投资人通过互联网方式交易时，互联网上的数据传输可能因通信繁忙出现延迟，或因其他原因出现中断、停顿或数据不完全、数据错误等情况，从而使交易出现错误、延迟、中断或停顿，有可能导致本金亏损。</w:t>
      </w:r>
      <w:r w:rsidRPr="00AE6326">
        <w:rPr>
          <w:rFonts w:ascii="宋体" w:eastAsia="宋体" w:hAnsi="宋体" w:cs="宋体" w:hint="eastAsia"/>
          <w:color w:val="000000"/>
          <w:kern w:val="0"/>
          <w:sz w:val="24"/>
          <w:szCs w:val="24"/>
        </w:rPr>
        <w:br/>
        <w:t>5、本公司承诺以诚实守信、勤勉尽责的原则管理和运用基金资产，但不保证旗</w:t>
      </w:r>
      <w:r w:rsidRPr="00AE6326">
        <w:rPr>
          <w:rFonts w:ascii="宋体" w:eastAsia="宋体" w:hAnsi="宋体" w:cs="宋体" w:hint="eastAsia"/>
          <w:color w:val="000000"/>
          <w:kern w:val="0"/>
          <w:sz w:val="24"/>
          <w:szCs w:val="24"/>
        </w:rPr>
        <w:lastRenderedPageBreak/>
        <w:t>下基金一定盈利，也不保证最低收益。</w:t>
      </w:r>
      <w:r w:rsidR="00EE68BC">
        <w:rPr>
          <w:rFonts w:ascii="宋体" w:eastAsia="宋体" w:hAnsi="宋体" w:cs="宋体" w:hint="eastAsia"/>
          <w:color w:val="000000"/>
          <w:kern w:val="0"/>
          <w:sz w:val="24"/>
          <w:szCs w:val="24"/>
        </w:rPr>
        <w:t>本公司</w:t>
      </w:r>
      <w:r w:rsidRPr="00AE6326">
        <w:rPr>
          <w:rFonts w:ascii="宋体" w:eastAsia="宋体" w:hAnsi="宋体" w:cs="宋体" w:hint="eastAsia"/>
          <w:color w:val="000000"/>
          <w:kern w:val="0"/>
          <w:sz w:val="24"/>
          <w:szCs w:val="24"/>
        </w:rPr>
        <w:t>旗下基金的过往业绩及其净值高低并不预示其未来业绩表现</w:t>
      </w:r>
      <w:r w:rsidR="00EE68BC">
        <w:rPr>
          <w:rFonts w:ascii="宋体" w:eastAsia="宋体" w:hAnsi="宋体" w:cs="宋体" w:hint="eastAsia"/>
          <w:color w:val="000000"/>
          <w:kern w:val="0"/>
          <w:sz w:val="24"/>
          <w:szCs w:val="24"/>
        </w:rPr>
        <w:t>，</w:t>
      </w:r>
      <w:r w:rsidR="00EE68BC" w:rsidRPr="00EE68BC">
        <w:rPr>
          <w:rFonts w:ascii="宋体" w:eastAsia="宋体" w:hAnsi="宋体" w:cs="宋体" w:hint="eastAsia"/>
          <w:color w:val="000000"/>
          <w:kern w:val="0"/>
          <w:sz w:val="24"/>
          <w:szCs w:val="24"/>
        </w:rPr>
        <w:t>本公司管理的某一基金产品的业绩不构成对其他基金产品业绩表现的保证</w:t>
      </w:r>
      <w:r w:rsidRPr="00AE6326">
        <w:rPr>
          <w:rFonts w:ascii="宋体" w:eastAsia="宋体" w:hAnsi="宋体" w:cs="宋体" w:hint="eastAsia"/>
          <w:color w:val="000000"/>
          <w:kern w:val="0"/>
          <w:sz w:val="24"/>
          <w:szCs w:val="24"/>
        </w:rPr>
        <w:t>。本公司提醒投资人基金投资的“买者自负”原则，在做出投资决策后，基金运营状况与基金净值变化引致的投资风险，由投资人自行负担。</w:t>
      </w:r>
      <w:r w:rsidRPr="00AE6326">
        <w:rPr>
          <w:rFonts w:ascii="宋体" w:eastAsia="宋体" w:hAnsi="宋体" w:cs="宋体" w:hint="eastAsia"/>
          <w:color w:val="000000"/>
          <w:kern w:val="0"/>
          <w:sz w:val="24"/>
          <w:szCs w:val="24"/>
        </w:rPr>
        <w:br/>
        <w:t>6、本公司将对基金投资人的风险承受能力进行调查和评价，并基于投资人的不同风险承受能力以及产品有不同风险等级等因素提出匹配性意见，但本公司的适当性匹配性意见仅供投资人参考，不表明是对产品的风险和收益做出实质性判断或保证，投资人应当在了解产品情况，听取本公司适当性意见的基础上，根据自身能力审慎决策，独立承担投资风险。</w:t>
      </w:r>
      <w:r w:rsidR="007F1F93" w:rsidRPr="007F1F93">
        <w:rPr>
          <w:rFonts w:ascii="宋体" w:eastAsia="宋体" w:hAnsi="宋体" w:cs="宋体" w:hint="eastAsia"/>
          <w:color w:val="000000"/>
          <w:kern w:val="0"/>
          <w:sz w:val="24"/>
          <w:szCs w:val="24"/>
        </w:rPr>
        <w:t>投资人向本公司提供的信息发生重要变化</w:t>
      </w:r>
      <w:r w:rsidR="00EE79BC">
        <w:rPr>
          <w:rFonts w:ascii="宋体" w:eastAsia="宋体" w:hAnsi="宋体" w:cs="宋体" w:hint="eastAsia"/>
          <w:color w:val="000000"/>
          <w:kern w:val="0"/>
          <w:sz w:val="24"/>
          <w:szCs w:val="24"/>
        </w:rPr>
        <w:t>，</w:t>
      </w:r>
      <w:r w:rsidR="007F1F93" w:rsidRPr="007F1F93">
        <w:rPr>
          <w:rFonts w:ascii="宋体" w:eastAsia="宋体" w:hAnsi="宋体" w:cs="宋体" w:hint="eastAsia"/>
          <w:color w:val="000000"/>
          <w:kern w:val="0"/>
          <w:sz w:val="24"/>
          <w:szCs w:val="24"/>
        </w:rPr>
        <w:t>可能影响</w:t>
      </w:r>
      <w:r w:rsidR="00465D8C">
        <w:rPr>
          <w:rFonts w:ascii="宋体" w:eastAsia="宋体" w:hAnsi="宋体" w:cs="宋体" w:hint="eastAsia"/>
          <w:color w:val="000000"/>
          <w:kern w:val="0"/>
          <w:sz w:val="24"/>
          <w:szCs w:val="24"/>
        </w:rPr>
        <w:t>分类</w:t>
      </w:r>
      <w:r w:rsidR="007F1F93" w:rsidRPr="007F1F93">
        <w:rPr>
          <w:rFonts w:ascii="宋体" w:eastAsia="宋体" w:hAnsi="宋体" w:cs="宋体" w:hint="eastAsia"/>
          <w:color w:val="000000"/>
          <w:kern w:val="0"/>
          <w:sz w:val="24"/>
          <w:szCs w:val="24"/>
        </w:rPr>
        <w:t>的</w:t>
      </w:r>
      <w:r w:rsidR="00EE79BC">
        <w:rPr>
          <w:rFonts w:ascii="宋体" w:eastAsia="宋体" w:hAnsi="宋体" w:cs="宋体" w:hint="eastAsia"/>
          <w:color w:val="000000"/>
          <w:kern w:val="0"/>
          <w:sz w:val="24"/>
          <w:szCs w:val="24"/>
        </w:rPr>
        <w:t>，</w:t>
      </w:r>
      <w:r w:rsidR="007F1F93" w:rsidRPr="007F1F93">
        <w:rPr>
          <w:rFonts w:ascii="宋体" w:eastAsia="宋体" w:hAnsi="宋体" w:cs="宋体" w:hint="eastAsia"/>
          <w:color w:val="000000"/>
          <w:kern w:val="0"/>
          <w:sz w:val="24"/>
          <w:szCs w:val="24"/>
        </w:rPr>
        <w:t>应当及时告知本公司。</w:t>
      </w:r>
    </w:p>
    <w:p w14:paraId="7E34D74A" w14:textId="2A1AF0D2" w:rsidR="00DC734B" w:rsidRPr="00AE6326" w:rsidRDefault="00DC734B" w:rsidP="00AE6326">
      <w:pPr>
        <w:widowControl/>
        <w:spacing w:line="360" w:lineRule="auto"/>
        <w:jc w:val="left"/>
        <w:rPr>
          <w:rFonts w:ascii="&amp;quot" w:eastAsia="宋体" w:hAnsi="&amp;quot" w:cs="宋体" w:hint="eastAsia"/>
          <w:color w:val="000000"/>
          <w:kern w:val="0"/>
          <w:szCs w:val="21"/>
        </w:rPr>
      </w:pPr>
      <w:r>
        <w:rPr>
          <w:rFonts w:ascii="宋体" w:eastAsia="宋体" w:hAnsi="宋体" w:cs="宋体" w:hint="eastAsia"/>
          <w:color w:val="000000"/>
          <w:kern w:val="0"/>
          <w:sz w:val="24"/>
          <w:szCs w:val="24"/>
        </w:rPr>
        <w:t>7、</w:t>
      </w:r>
      <w:r>
        <w:rPr>
          <w:rFonts w:ascii="宋体" w:eastAsia="宋体" w:hAnsi="宋体" w:cs="宋体"/>
          <w:color w:val="000000"/>
          <w:kern w:val="0"/>
          <w:sz w:val="24"/>
          <w:szCs w:val="24"/>
        </w:rPr>
        <w:t>投资人</w:t>
      </w:r>
      <w:r w:rsidR="00521E47">
        <w:rPr>
          <w:rFonts w:ascii="宋体" w:eastAsia="宋体" w:hAnsi="宋体" w:cs="宋体"/>
          <w:color w:val="000000"/>
          <w:kern w:val="0"/>
          <w:sz w:val="24"/>
          <w:szCs w:val="24"/>
        </w:rPr>
        <w:t>投资</w:t>
      </w:r>
      <w:r>
        <w:rPr>
          <w:rFonts w:ascii="宋体" w:eastAsia="宋体" w:hAnsi="宋体" w:cs="宋体"/>
          <w:color w:val="000000"/>
          <w:kern w:val="0"/>
          <w:sz w:val="24"/>
          <w:szCs w:val="24"/>
        </w:rPr>
        <w:t>本公司管理基金产品的，应当</w:t>
      </w:r>
      <w:r w:rsidR="00521E47">
        <w:rPr>
          <w:rFonts w:ascii="宋体" w:eastAsia="宋体" w:hAnsi="宋体" w:cs="宋体"/>
          <w:color w:val="000000"/>
          <w:kern w:val="0"/>
          <w:sz w:val="24"/>
          <w:szCs w:val="24"/>
        </w:rPr>
        <w:t>积极</w:t>
      </w:r>
      <w:r>
        <w:rPr>
          <w:rFonts w:ascii="宋体" w:eastAsia="宋体" w:hAnsi="宋体" w:cs="宋体"/>
          <w:color w:val="000000"/>
          <w:kern w:val="0"/>
          <w:sz w:val="24"/>
          <w:szCs w:val="24"/>
        </w:rPr>
        <w:t>关注本公司披露的信息，以确保本公司的业务或者财产状况发生变化时，能够了解到可能导致本金或者原始本金亏损的事项</w:t>
      </w:r>
      <w:r w:rsidR="00165AE4">
        <w:rPr>
          <w:rFonts w:ascii="宋体" w:eastAsia="宋体" w:hAnsi="宋体" w:cs="宋体"/>
          <w:color w:val="000000"/>
          <w:kern w:val="0"/>
          <w:sz w:val="24"/>
          <w:szCs w:val="24"/>
        </w:rPr>
        <w:t>，或可能影响投资</w:t>
      </w:r>
      <w:r>
        <w:rPr>
          <w:rFonts w:ascii="宋体" w:eastAsia="宋体" w:hAnsi="宋体" w:cs="宋体"/>
          <w:color w:val="000000"/>
          <w:kern w:val="0"/>
          <w:sz w:val="24"/>
          <w:szCs w:val="24"/>
        </w:rPr>
        <w:t>判断的重要事由，做好投资决策。</w:t>
      </w:r>
    </w:p>
    <w:p w14:paraId="14062294" w14:textId="64ED4617" w:rsidR="00AE6326" w:rsidRPr="00AE6326" w:rsidRDefault="00DC734B" w:rsidP="00AE6326">
      <w:pPr>
        <w:widowControl/>
        <w:spacing w:line="360" w:lineRule="auto"/>
        <w:jc w:val="left"/>
        <w:rPr>
          <w:rFonts w:ascii="&amp;quot" w:eastAsia="宋体" w:hAnsi="&amp;quot" w:cs="宋体" w:hint="eastAsia"/>
          <w:color w:val="000000"/>
          <w:kern w:val="0"/>
          <w:szCs w:val="21"/>
        </w:rPr>
      </w:pPr>
      <w:r>
        <w:rPr>
          <w:rFonts w:ascii="宋体" w:eastAsia="宋体" w:hAnsi="宋体" w:cs="宋体"/>
          <w:color w:val="000000"/>
          <w:kern w:val="0"/>
          <w:sz w:val="24"/>
          <w:szCs w:val="24"/>
        </w:rPr>
        <w:t>8</w:t>
      </w:r>
      <w:r w:rsidR="00AE6326" w:rsidRPr="00AE6326">
        <w:rPr>
          <w:rFonts w:ascii="宋体" w:eastAsia="宋体" w:hAnsi="宋体" w:cs="宋体" w:hint="eastAsia"/>
          <w:color w:val="000000"/>
          <w:kern w:val="0"/>
          <w:sz w:val="24"/>
          <w:szCs w:val="24"/>
        </w:rPr>
        <w:t>、基金产品的风险评级越高，其可能导致的本金亏损也就越大，请您在购买产品前认真了解该产品相关信息，关注产品风险与自身的匹配情况，按照本公司官网披露的匹配规则。当您所购买基金产品的风险评级超出您的风险承受能力时，本公司将通过系统提示的方式警示您风险不匹配的相关风险、请您确认相关声明内容，请务必仔细阅读、确认，谨慎决策。</w:t>
      </w:r>
    </w:p>
    <w:p w14:paraId="4A6935FF" w14:textId="00A0BD93" w:rsidR="00AE6326" w:rsidRPr="00AE6326" w:rsidRDefault="00DC734B" w:rsidP="00AE6326">
      <w:pPr>
        <w:widowControl/>
        <w:spacing w:line="360" w:lineRule="auto"/>
        <w:jc w:val="left"/>
        <w:rPr>
          <w:rFonts w:ascii="&amp;quot" w:eastAsia="宋体" w:hAnsi="&amp;quot" w:cs="宋体" w:hint="eastAsia"/>
          <w:color w:val="000000"/>
          <w:kern w:val="0"/>
          <w:szCs w:val="21"/>
        </w:rPr>
      </w:pPr>
      <w:r>
        <w:rPr>
          <w:rFonts w:ascii="宋体" w:eastAsia="宋体" w:hAnsi="宋体" w:cs="宋体"/>
          <w:color w:val="000000"/>
          <w:kern w:val="0"/>
          <w:sz w:val="24"/>
          <w:szCs w:val="24"/>
        </w:rPr>
        <w:t>9</w:t>
      </w:r>
      <w:r w:rsidR="00AE6326" w:rsidRPr="00AE6326">
        <w:rPr>
          <w:rFonts w:ascii="宋体" w:eastAsia="宋体" w:hAnsi="宋体" w:cs="宋体" w:hint="eastAsia"/>
          <w:color w:val="000000"/>
          <w:kern w:val="0"/>
          <w:sz w:val="24"/>
          <w:szCs w:val="24"/>
        </w:rPr>
        <w:t>、我公司旗下全部基金的基金合同和招募说明书（及其更新文件）均在我公司官网进行了公示。关于限制投资者行使期限或者可解除合同期限等全部限制内容，请您重点关注基金合同的前言、基金的基本情况、基金份额的发售、基金份额的申购与赎回、基金合同当事人及权利义务、违约责任、争议的处理和适用的法律等章节及基金招募说明书的相应部分，确保在了解情况并愿意承担相关风险的前提下投资。</w:t>
      </w:r>
    </w:p>
    <w:p w14:paraId="41495440" w14:textId="66B1F8DC" w:rsidR="005D2124" w:rsidRDefault="00163B30" w:rsidP="00B04A73">
      <w:pPr>
        <w:spacing w:line="360" w:lineRule="auto"/>
        <w:rPr>
          <w:rFonts w:ascii="宋体" w:eastAsia="宋体" w:hAnsi="宋体" w:cs="宋体"/>
          <w:color w:val="000000"/>
          <w:kern w:val="0"/>
          <w:sz w:val="24"/>
          <w:szCs w:val="24"/>
        </w:rPr>
      </w:pPr>
    </w:p>
    <w:p w14:paraId="29552995" w14:textId="77777777" w:rsidR="006305A0" w:rsidRDefault="006305A0" w:rsidP="00B04A73">
      <w:pPr>
        <w:spacing w:line="360" w:lineRule="auto"/>
        <w:rPr>
          <w:rFonts w:ascii="宋体" w:eastAsia="宋体" w:hAnsi="宋体" w:cs="宋体"/>
          <w:color w:val="000000"/>
          <w:kern w:val="0"/>
          <w:sz w:val="24"/>
          <w:szCs w:val="24"/>
        </w:rPr>
      </w:pPr>
    </w:p>
    <w:p w14:paraId="4328F380" w14:textId="75E976F7" w:rsidR="006305A0" w:rsidRDefault="006305A0" w:rsidP="006305A0">
      <w:pPr>
        <w:spacing w:line="360" w:lineRule="auto"/>
        <w:jc w:val="right"/>
        <w:rPr>
          <w:rFonts w:ascii="宋体" w:eastAsia="宋体" w:hAnsi="宋体" w:cs="宋体"/>
          <w:b/>
          <w:color w:val="000000"/>
          <w:kern w:val="0"/>
          <w:sz w:val="24"/>
          <w:szCs w:val="24"/>
        </w:rPr>
      </w:pPr>
      <w:r w:rsidRPr="009E3BA2">
        <w:rPr>
          <w:rFonts w:ascii="宋体" w:eastAsia="宋体" w:hAnsi="宋体" w:cs="宋体"/>
          <w:b/>
          <w:color w:val="000000"/>
          <w:kern w:val="0"/>
          <w:sz w:val="24"/>
          <w:szCs w:val="24"/>
        </w:rPr>
        <w:t>易方达基金管理有限公司</w:t>
      </w:r>
    </w:p>
    <w:p w14:paraId="1885CCA8" w14:textId="77777777" w:rsidR="006305A0" w:rsidRPr="009E3BA2" w:rsidRDefault="006305A0">
      <w:pPr>
        <w:widowControl/>
        <w:jc w:val="left"/>
        <w:rPr>
          <w:rFonts w:ascii="宋体" w:eastAsia="宋体" w:hAnsi="宋体" w:cs="宋体"/>
          <w:b/>
          <w:color w:val="000000"/>
          <w:kern w:val="0"/>
          <w:sz w:val="24"/>
          <w:szCs w:val="24"/>
        </w:rPr>
      </w:pPr>
      <w:r w:rsidRPr="00C231C5">
        <w:rPr>
          <w:rFonts w:ascii="宋体" w:eastAsia="宋体" w:hAnsi="宋体" w:cs="宋体"/>
          <w:b/>
          <w:color w:val="000000"/>
          <w:kern w:val="0"/>
          <w:sz w:val="24"/>
          <w:szCs w:val="24"/>
        </w:rPr>
        <w:br w:type="page"/>
      </w:r>
    </w:p>
    <w:p w14:paraId="2B1F26B3" w14:textId="68DF14A0" w:rsidR="006305A0" w:rsidRPr="009E3BA2" w:rsidRDefault="006305A0" w:rsidP="009E3BA2">
      <w:pPr>
        <w:rPr>
          <w:rFonts w:asciiTheme="minorEastAsia" w:hAnsiTheme="minorEastAsia" w:cs="宋体"/>
          <w:b/>
          <w:color w:val="000000"/>
          <w:kern w:val="0"/>
          <w:sz w:val="24"/>
          <w:szCs w:val="24"/>
        </w:rPr>
      </w:pPr>
      <w:r w:rsidRPr="009E3BA2">
        <w:rPr>
          <w:rFonts w:hint="eastAsia"/>
        </w:rPr>
        <w:lastRenderedPageBreak/>
        <w:t xml:space="preserve"> </w:t>
      </w:r>
      <w:r w:rsidRPr="009E3BA2">
        <w:t xml:space="preserve">                                                                     </w:t>
      </w:r>
    </w:p>
    <w:p w14:paraId="651C73E5" w14:textId="5455B29F" w:rsidR="006305A0" w:rsidRPr="009E3BA2" w:rsidRDefault="006305A0" w:rsidP="009E3BA2">
      <w:pPr>
        <w:spacing w:line="360" w:lineRule="auto"/>
        <w:jc w:val="center"/>
        <w:rPr>
          <w:rFonts w:asciiTheme="minorEastAsia" w:hAnsiTheme="minorEastAsia" w:cs="宋体"/>
          <w:b/>
          <w:color w:val="000000"/>
          <w:kern w:val="0"/>
          <w:sz w:val="32"/>
          <w:szCs w:val="32"/>
        </w:rPr>
      </w:pPr>
      <w:r w:rsidRPr="009E3BA2">
        <w:rPr>
          <w:rFonts w:asciiTheme="minorEastAsia" w:hAnsiTheme="minorEastAsia" w:cs="宋体"/>
          <w:b/>
          <w:color w:val="000000"/>
          <w:kern w:val="0"/>
          <w:sz w:val="32"/>
          <w:szCs w:val="32"/>
        </w:rPr>
        <w:t>普通投资者确认回执</w:t>
      </w:r>
    </w:p>
    <w:p w14:paraId="76B26E3A" w14:textId="77777777" w:rsidR="006305A0" w:rsidRPr="009E3BA2" w:rsidRDefault="006305A0" w:rsidP="009E3BA2">
      <w:pPr>
        <w:spacing w:line="360" w:lineRule="auto"/>
        <w:jc w:val="center"/>
        <w:rPr>
          <w:rFonts w:asciiTheme="minorEastAsia" w:hAnsiTheme="minorEastAsia" w:cs="宋体"/>
          <w:b/>
          <w:color w:val="000000"/>
          <w:kern w:val="0"/>
          <w:sz w:val="24"/>
          <w:szCs w:val="24"/>
        </w:rPr>
      </w:pPr>
    </w:p>
    <w:p w14:paraId="4EEB77F5" w14:textId="77777777" w:rsidR="006305A0" w:rsidRPr="009E3BA2" w:rsidRDefault="006305A0" w:rsidP="009E3BA2">
      <w:pPr>
        <w:spacing w:line="360" w:lineRule="auto"/>
        <w:jc w:val="left"/>
        <w:rPr>
          <w:rFonts w:asciiTheme="minorEastAsia" w:hAnsiTheme="minorEastAsia"/>
          <w:b/>
          <w:sz w:val="24"/>
          <w:szCs w:val="24"/>
        </w:rPr>
      </w:pPr>
      <w:r w:rsidRPr="009E3BA2">
        <w:rPr>
          <w:rFonts w:asciiTheme="minorEastAsia" w:hAnsiTheme="minorEastAsia" w:hint="eastAsia"/>
          <w:b/>
          <w:sz w:val="24"/>
          <w:szCs w:val="24"/>
        </w:rPr>
        <w:t>致易方达基金管理有限公司：</w:t>
      </w:r>
      <w:r w:rsidRPr="009E3BA2">
        <w:rPr>
          <w:rFonts w:asciiTheme="minorEastAsia" w:hAnsiTheme="minorEastAsia"/>
          <w:b/>
          <w:sz w:val="24"/>
          <w:szCs w:val="24"/>
        </w:rPr>
        <w:t xml:space="preserve"> </w:t>
      </w:r>
    </w:p>
    <w:p w14:paraId="234B5154" w14:textId="0BBD0597" w:rsidR="006305A0" w:rsidRPr="009E3BA2" w:rsidRDefault="006305A0" w:rsidP="009E3BA2">
      <w:pPr>
        <w:widowControl/>
        <w:spacing w:line="360" w:lineRule="auto"/>
        <w:ind w:firstLine="482"/>
        <w:jc w:val="left"/>
        <w:rPr>
          <w:rFonts w:asciiTheme="minorEastAsia" w:hAnsiTheme="minorEastAsia"/>
          <w:b/>
        </w:rPr>
      </w:pPr>
      <w:r w:rsidRPr="009E3BA2">
        <w:rPr>
          <w:rFonts w:asciiTheme="minorEastAsia" w:hAnsiTheme="minorEastAsia" w:hint="eastAsia"/>
          <w:b/>
        </w:rPr>
        <w:t>本</w:t>
      </w:r>
      <w:r w:rsidRPr="009E3BA2">
        <w:rPr>
          <w:rFonts w:asciiTheme="minorEastAsia" w:hAnsiTheme="minorEastAsia" w:hint="eastAsia"/>
          <w:b/>
          <w:sz w:val="24"/>
          <w:szCs w:val="24"/>
        </w:rPr>
        <w:t>人</w:t>
      </w:r>
      <w:r w:rsidRPr="009E3BA2">
        <w:rPr>
          <w:rFonts w:asciiTheme="minorEastAsia" w:hAnsiTheme="minorEastAsia"/>
          <w:b/>
          <w:sz w:val="24"/>
          <w:szCs w:val="24"/>
        </w:rPr>
        <w:t>/</w:t>
      </w:r>
      <w:r w:rsidRPr="009E3BA2">
        <w:rPr>
          <w:rFonts w:asciiTheme="minorEastAsia" w:hAnsiTheme="minorEastAsia" w:hint="eastAsia"/>
          <w:b/>
          <w:sz w:val="24"/>
          <w:szCs w:val="24"/>
        </w:rPr>
        <w:t>本单位已仔细阅读易方达基金管理有限公司的《投资者风险告知函》、旗下基金的基金合同和招募说明书（及其更新文件），全面了解所投资的基金风险收益特征和产品特性，明白投资基金有风险，会充分考虑本人</w:t>
      </w:r>
      <w:r w:rsidRPr="009E3BA2">
        <w:rPr>
          <w:rFonts w:asciiTheme="minorEastAsia" w:hAnsiTheme="minorEastAsia"/>
          <w:b/>
          <w:sz w:val="24"/>
          <w:szCs w:val="24"/>
        </w:rPr>
        <w:t>/</w:t>
      </w:r>
      <w:r w:rsidRPr="009E3BA2">
        <w:rPr>
          <w:rFonts w:asciiTheme="minorEastAsia" w:hAnsiTheme="minorEastAsia" w:hint="eastAsia"/>
          <w:b/>
          <w:sz w:val="24"/>
          <w:szCs w:val="24"/>
        </w:rPr>
        <w:t>本单位的风险承受能力，并理性判断市场，谨慎做出投资决策，愿意承担基金投资风险。</w:t>
      </w:r>
      <w:r w:rsidRPr="009E3BA2">
        <w:rPr>
          <w:rFonts w:asciiTheme="minorEastAsia" w:hAnsiTheme="minorEastAsia"/>
          <w:b/>
          <w:sz w:val="24"/>
          <w:szCs w:val="24"/>
        </w:rPr>
        <w:t xml:space="preserve"> </w:t>
      </w:r>
    </w:p>
    <w:p w14:paraId="6D4A1AA6" w14:textId="1B7BC53B" w:rsidR="006305A0" w:rsidRPr="009E3BA2" w:rsidRDefault="006305A0" w:rsidP="009E3BA2">
      <w:pPr>
        <w:widowControl/>
        <w:spacing w:line="360" w:lineRule="auto"/>
        <w:ind w:firstLine="482"/>
        <w:jc w:val="left"/>
        <w:rPr>
          <w:rFonts w:asciiTheme="minorEastAsia" w:hAnsiTheme="minorEastAsia" w:cs="宋体"/>
          <w:b/>
          <w:bCs/>
          <w:color w:val="000000"/>
          <w:kern w:val="0"/>
          <w:sz w:val="24"/>
          <w:szCs w:val="24"/>
        </w:rPr>
      </w:pPr>
      <w:r w:rsidRPr="009E3BA2">
        <w:rPr>
          <w:rFonts w:asciiTheme="minorEastAsia" w:hAnsiTheme="minorEastAsia" w:cs="宋体" w:hint="eastAsia"/>
          <w:b/>
          <w:bCs/>
          <w:color w:val="000000"/>
          <w:kern w:val="0"/>
          <w:sz w:val="24"/>
          <w:szCs w:val="24"/>
        </w:rPr>
        <w:t>签名</w:t>
      </w:r>
      <w:r w:rsidRPr="009E3BA2">
        <w:rPr>
          <w:rFonts w:asciiTheme="minorEastAsia" w:hAnsiTheme="minorEastAsia" w:cs="宋体"/>
          <w:b/>
          <w:bCs/>
          <w:color w:val="000000"/>
          <w:kern w:val="0"/>
          <w:sz w:val="24"/>
          <w:szCs w:val="24"/>
        </w:rPr>
        <w:t>/</w:t>
      </w:r>
      <w:r w:rsidRPr="009E3BA2">
        <w:rPr>
          <w:rFonts w:asciiTheme="minorEastAsia" w:hAnsiTheme="minorEastAsia" w:cs="宋体" w:hint="eastAsia"/>
          <w:b/>
          <w:bCs/>
          <w:color w:val="000000"/>
          <w:kern w:val="0"/>
          <w:sz w:val="24"/>
          <w:szCs w:val="24"/>
        </w:rPr>
        <w:t>单位签章以示以上承诺。</w:t>
      </w:r>
      <w:r w:rsidRPr="009E3BA2">
        <w:rPr>
          <w:rFonts w:asciiTheme="minorEastAsia" w:hAnsiTheme="minorEastAsia" w:cs="宋体"/>
          <w:b/>
          <w:bCs/>
          <w:color w:val="000000"/>
          <w:kern w:val="0"/>
          <w:sz w:val="24"/>
          <w:szCs w:val="24"/>
        </w:rPr>
        <w:t xml:space="preserve"> </w:t>
      </w:r>
    </w:p>
    <w:p w14:paraId="7EEB14C5" w14:textId="77777777" w:rsidR="006305A0" w:rsidRDefault="006305A0" w:rsidP="009E3BA2">
      <w:pPr>
        <w:spacing w:line="360" w:lineRule="auto"/>
        <w:jc w:val="left"/>
        <w:rPr>
          <w:rFonts w:asciiTheme="minorEastAsia" w:hAnsiTheme="minorEastAsia"/>
          <w:sz w:val="24"/>
          <w:szCs w:val="24"/>
        </w:rPr>
      </w:pPr>
    </w:p>
    <w:p w14:paraId="5A28C374" w14:textId="77777777" w:rsidR="009E3BA2" w:rsidRPr="009E3BA2" w:rsidRDefault="009E3BA2" w:rsidP="009E3BA2">
      <w:pPr>
        <w:spacing w:line="360" w:lineRule="auto"/>
        <w:jc w:val="left"/>
        <w:rPr>
          <w:rFonts w:asciiTheme="minorEastAsia" w:hAnsiTheme="minorEastAsia"/>
          <w:sz w:val="24"/>
          <w:szCs w:val="24"/>
        </w:rPr>
      </w:pPr>
    </w:p>
    <w:p w14:paraId="1B88C234" w14:textId="1AE6CCCB" w:rsidR="006305A0" w:rsidRPr="009E3BA2" w:rsidRDefault="006305A0" w:rsidP="009E3BA2">
      <w:pPr>
        <w:spacing w:line="360" w:lineRule="auto"/>
        <w:jc w:val="center"/>
        <w:rPr>
          <w:rFonts w:asciiTheme="minorEastAsia" w:hAnsiTheme="minorEastAsia"/>
          <w:b/>
          <w:sz w:val="24"/>
          <w:szCs w:val="24"/>
        </w:rPr>
      </w:pPr>
      <w:r w:rsidRPr="009E3BA2">
        <w:rPr>
          <w:rFonts w:asciiTheme="minorEastAsia" w:hAnsiTheme="minorEastAsia" w:hint="eastAsia"/>
          <w:b/>
          <w:sz w:val="24"/>
          <w:szCs w:val="24"/>
        </w:rPr>
        <w:t>机构投资者单位公章（或预留印鉴）：</w:t>
      </w:r>
    </w:p>
    <w:p w14:paraId="526A6255" w14:textId="4103A9A6" w:rsidR="006305A0" w:rsidRPr="009E3BA2" w:rsidRDefault="006305A0" w:rsidP="009E3BA2">
      <w:pPr>
        <w:spacing w:line="360" w:lineRule="auto"/>
        <w:jc w:val="left"/>
        <w:rPr>
          <w:rFonts w:asciiTheme="minorEastAsia" w:hAnsiTheme="minorEastAsia"/>
          <w:b/>
          <w:sz w:val="24"/>
          <w:szCs w:val="24"/>
        </w:rPr>
      </w:pPr>
    </w:p>
    <w:p w14:paraId="564B43C0" w14:textId="511482B2" w:rsidR="006305A0" w:rsidRPr="009E3BA2" w:rsidRDefault="006305A0" w:rsidP="009E3BA2">
      <w:pPr>
        <w:spacing w:line="360" w:lineRule="auto"/>
        <w:jc w:val="center"/>
        <w:rPr>
          <w:rFonts w:asciiTheme="minorEastAsia" w:hAnsiTheme="minorEastAsia"/>
          <w:b/>
          <w:sz w:val="24"/>
          <w:szCs w:val="24"/>
        </w:rPr>
      </w:pPr>
      <w:r w:rsidRPr="009E3BA2">
        <w:rPr>
          <w:rFonts w:asciiTheme="minorEastAsia" w:hAnsiTheme="minorEastAsia" w:hint="eastAsia"/>
          <w:b/>
          <w:sz w:val="24"/>
          <w:szCs w:val="24"/>
        </w:rPr>
        <w:t>个人投资者</w:t>
      </w:r>
      <w:r w:rsidRPr="009E3BA2">
        <w:rPr>
          <w:rFonts w:asciiTheme="minorEastAsia" w:hAnsiTheme="minorEastAsia"/>
          <w:b/>
          <w:sz w:val="24"/>
          <w:szCs w:val="24"/>
        </w:rPr>
        <w:t>/</w:t>
      </w:r>
      <w:r w:rsidRPr="009E3BA2">
        <w:rPr>
          <w:rFonts w:asciiTheme="minorEastAsia" w:hAnsiTheme="minorEastAsia" w:hint="eastAsia"/>
          <w:b/>
          <w:sz w:val="24"/>
          <w:szCs w:val="24"/>
        </w:rPr>
        <w:t>机构法人（或授权经办人）签名：</w:t>
      </w:r>
    </w:p>
    <w:p w14:paraId="74FAB591" w14:textId="77777777" w:rsidR="006305A0" w:rsidRPr="009E3BA2" w:rsidRDefault="006305A0" w:rsidP="009E3BA2">
      <w:pPr>
        <w:spacing w:line="360" w:lineRule="auto"/>
        <w:jc w:val="left"/>
        <w:rPr>
          <w:rFonts w:asciiTheme="minorEastAsia" w:hAnsiTheme="minorEastAsia"/>
          <w:b/>
          <w:sz w:val="24"/>
          <w:szCs w:val="24"/>
        </w:rPr>
      </w:pPr>
    </w:p>
    <w:p w14:paraId="363B9990" w14:textId="08C53121" w:rsidR="006305A0" w:rsidRPr="009E3BA2" w:rsidRDefault="006305A0" w:rsidP="009E3BA2">
      <w:pPr>
        <w:spacing w:line="360" w:lineRule="auto"/>
        <w:jc w:val="right"/>
        <w:rPr>
          <w:rFonts w:asciiTheme="minorEastAsia" w:hAnsiTheme="minorEastAsia" w:cs="宋体"/>
          <w:b/>
          <w:color w:val="000000"/>
          <w:kern w:val="0"/>
          <w:sz w:val="24"/>
          <w:szCs w:val="24"/>
        </w:rPr>
      </w:pPr>
      <w:r w:rsidRPr="009E3BA2">
        <w:rPr>
          <w:rFonts w:asciiTheme="minorEastAsia" w:hAnsiTheme="minorEastAsia" w:hint="eastAsia"/>
          <w:b/>
          <w:sz w:val="24"/>
          <w:szCs w:val="24"/>
        </w:rPr>
        <w:t>日期：</w:t>
      </w:r>
      <w:permStart w:id="770059627" w:edGrp="everyone"/>
      <w:r w:rsidRPr="009E3BA2">
        <w:rPr>
          <w:rFonts w:asciiTheme="minorEastAsia" w:hAnsiTheme="minorEastAsia"/>
          <w:b/>
          <w:sz w:val="24"/>
          <w:szCs w:val="24"/>
        </w:rPr>
        <w:t xml:space="preserve"> </w:t>
      </w:r>
      <w:r w:rsidR="00163B30">
        <w:rPr>
          <w:rFonts w:asciiTheme="minorEastAsia" w:hAnsiTheme="minorEastAsia"/>
          <w:b/>
          <w:sz w:val="24"/>
          <w:szCs w:val="24"/>
        </w:rPr>
        <w:t xml:space="preserve">   </w:t>
      </w:r>
      <w:r w:rsidR="004B2F1B" w:rsidRPr="009E3BA2">
        <w:rPr>
          <w:rFonts w:asciiTheme="minorEastAsia" w:hAnsiTheme="minorEastAsia"/>
          <w:b/>
          <w:sz w:val="24"/>
          <w:szCs w:val="24"/>
        </w:rPr>
        <w:t xml:space="preserve"> </w:t>
      </w:r>
      <w:bookmarkStart w:id="0" w:name="_GoBack"/>
      <w:bookmarkEnd w:id="0"/>
      <w:r w:rsidR="004B2F1B" w:rsidRPr="009E3BA2">
        <w:rPr>
          <w:rFonts w:asciiTheme="minorEastAsia" w:hAnsiTheme="minorEastAsia"/>
          <w:b/>
          <w:sz w:val="24"/>
          <w:szCs w:val="24"/>
        </w:rPr>
        <w:t xml:space="preserve"> </w:t>
      </w:r>
      <w:permEnd w:id="770059627"/>
      <w:r w:rsidRPr="009E3BA2">
        <w:rPr>
          <w:rFonts w:asciiTheme="minorEastAsia" w:hAnsiTheme="minorEastAsia" w:hint="eastAsia"/>
          <w:b/>
          <w:sz w:val="24"/>
          <w:szCs w:val="24"/>
        </w:rPr>
        <w:t>年</w:t>
      </w:r>
      <w:permStart w:id="947944203" w:edGrp="everyone"/>
      <w:r w:rsidR="004B2F1B" w:rsidRPr="009E3BA2">
        <w:rPr>
          <w:rFonts w:asciiTheme="minorEastAsia" w:hAnsiTheme="minorEastAsia"/>
          <w:b/>
          <w:sz w:val="24"/>
          <w:szCs w:val="24"/>
        </w:rPr>
        <w:t xml:space="preserve"> </w:t>
      </w:r>
      <w:r w:rsidR="00163B30">
        <w:rPr>
          <w:rFonts w:asciiTheme="minorEastAsia" w:hAnsiTheme="minorEastAsia"/>
          <w:b/>
          <w:sz w:val="24"/>
          <w:szCs w:val="24"/>
        </w:rPr>
        <w:t xml:space="preserve">  </w:t>
      </w:r>
      <w:r w:rsidR="004B2F1B" w:rsidRPr="009E3BA2">
        <w:rPr>
          <w:rFonts w:asciiTheme="minorEastAsia" w:hAnsiTheme="minorEastAsia"/>
          <w:b/>
          <w:sz w:val="24"/>
          <w:szCs w:val="24"/>
        </w:rPr>
        <w:t xml:space="preserve"> </w:t>
      </w:r>
      <w:r w:rsidRPr="009E3BA2">
        <w:rPr>
          <w:rFonts w:asciiTheme="minorEastAsia" w:hAnsiTheme="minorEastAsia"/>
          <w:b/>
          <w:sz w:val="24"/>
          <w:szCs w:val="24"/>
        </w:rPr>
        <w:t xml:space="preserve"> </w:t>
      </w:r>
      <w:permEnd w:id="947944203"/>
      <w:r w:rsidRPr="009E3BA2">
        <w:rPr>
          <w:rFonts w:asciiTheme="minorEastAsia" w:hAnsiTheme="minorEastAsia" w:hint="eastAsia"/>
          <w:b/>
          <w:sz w:val="24"/>
          <w:szCs w:val="24"/>
        </w:rPr>
        <w:t>月</w:t>
      </w:r>
      <w:permStart w:id="333014439" w:edGrp="everyone"/>
      <w:r w:rsidRPr="009E3BA2">
        <w:rPr>
          <w:rFonts w:asciiTheme="minorEastAsia" w:hAnsiTheme="minorEastAsia"/>
          <w:b/>
          <w:sz w:val="24"/>
          <w:szCs w:val="24"/>
        </w:rPr>
        <w:t xml:space="preserve"> </w:t>
      </w:r>
      <w:r w:rsidR="004B2F1B" w:rsidRPr="009E3BA2">
        <w:rPr>
          <w:rFonts w:asciiTheme="minorEastAsia" w:hAnsiTheme="minorEastAsia"/>
          <w:b/>
          <w:sz w:val="24"/>
          <w:szCs w:val="24"/>
        </w:rPr>
        <w:t xml:space="preserve"> </w:t>
      </w:r>
      <w:r w:rsidR="00163B30">
        <w:rPr>
          <w:rFonts w:asciiTheme="minorEastAsia" w:hAnsiTheme="minorEastAsia"/>
          <w:b/>
          <w:sz w:val="24"/>
          <w:szCs w:val="24"/>
        </w:rPr>
        <w:t xml:space="preserve">  </w:t>
      </w:r>
      <w:r w:rsidR="004B2F1B" w:rsidRPr="009E3BA2">
        <w:rPr>
          <w:rFonts w:asciiTheme="minorEastAsia" w:hAnsiTheme="minorEastAsia"/>
          <w:b/>
          <w:sz w:val="24"/>
          <w:szCs w:val="24"/>
        </w:rPr>
        <w:t xml:space="preserve"> </w:t>
      </w:r>
      <w:permEnd w:id="333014439"/>
      <w:r w:rsidRPr="009E3BA2">
        <w:rPr>
          <w:rFonts w:asciiTheme="minorEastAsia" w:hAnsiTheme="minorEastAsia" w:hint="eastAsia"/>
          <w:b/>
          <w:sz w:val="24"/>
          <w:szCs w:val="24"/>
        </w:rPr>
        <w:t>日</w:t>
      </w:r>
    </w:p>
    <w:sectPr w:rsidR="006305A0" w:rsidRPr="009E3BA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06F53" w14:textId="77777777" w:rsidR="009F7787" w:rsidRDefault="009F7787" w:rsidP="00734B2B">
      <w:r>
        <w:separator/>
      </w:r>
    </w:p>
  </w:endnote>
  <w:endnote w:type="continuationSeparator" w:id="0">
    <w:p w14:paraId="11AFC2E2" w14:textId="77777777" w:rsidR="009F7787" w:rsidRDefault="009F7787" w:rsidP="0073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18E2" w14:textId="77777777" w:rsidR="009F7787" w:rsidRDefault="009F7787" w:rsidP="00734B2B">
      <w:r>
        <w:separator/>
      </w:r>
    </w:p>
  </w:footnote>
  <w:footnote w:type="continuationSeparator" w:id="0">
    <w:p w14:paraId="7E39C4CE" w14:textId="77777777" w:rsidR="009F7787" w:rsidRDefault="009F7787" w:rsidP="00734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D4746" w14:textId="74D5FE25" w:rsidR="00524047" w:rsidRPr="00524047" w:rsidRDefault="00524047" w:rsidP="009E3BA2">
    <w:r>
      <w:rPr>
        <w:noProof/>
      </w:rPr>
      <w:drawing>
        <wp:anchor distT="0" distB="0" distL="114300" distR="114300" simplePos="0" relativeHeight="251658240" behindDoc="1" locked="0" layoutInCell="1" allowOverlap="1" wp14:anchorId="7C29B4A6" wp14:editId="078D410D">
          <wp:simplePos x="0" y="0"/>
          <wp:positionH relativeFrom="margin">
            <wp:align>left</wp:align>
          </wp:positionH>
          <wp:positionV relativeFrom="paragraph">
            <wp:posOffset>-149860</wp:posOffset>
          </wp:positionV>
          <wp:extent cx="1476375" cy="421821"/>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6376" cy="433250"/>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ocumentProtection w:edit="readOnly" w:enforcement="1" w:cryptProviderType="rsaAES" w:cryptAlgorithmClass="hash" w:cryptAlgorithmType="typeAny" w:cryptAlgorithmSid="14" w:cryptSpinCount="100000" w:hash="mvkWKeDlyASUlpavJuUwtXFDsV59pCu7fhe+kfYerxR3PDQuX4S7H/7gl3k33rW1IHVyppSO1sthHPkxbUrd4Q==" w:salt="Tw4PFy8iqQefvNjWHAMf9A=="/>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9D7"/>
    <w:rsid w:val="00075282"/>
    <w:rsid w:val="00092E63"/>
    <w:rsid w:val="00112392"/>
    <w:rsid w:val="00142C3D"/>
    <w:rsid w:val="00163B30"/>
    <w:rsid w:val="00165AE4"/>
    <w:rsid w:val="00215E3C"/>
    <w:rsid w:val="00220095"/>
    <w:rsid w:val="00283D4D"/>
    <w:rsid w:val="002A5A66"/>
    <w:rsid w:val="002E6D92"/>
    <w:rsid w:val="00465D8C"/>
    <w:rsid w:val="004B2F1B"/>
    <w:rsid w:val="004B7AEB"/>
    <w:rsid w:val="00521E47"/>
    <w:rsid w:val="00524047"/>
    <w:rsid w:val="00552647"/>
    <w:rsid w:val="0055526A"/>
    <w:rsid w:val="005925FA"/>
    <w:rsid w:val="005C056E"/>
    <w:rsid w:val="00611556"/>
    <w:rsid w:val="006305A0"/>
    <w:rsid w:val="006E0DDF"/>
    <w:rsid w:val="00705255"/>
    <w:rsid w:val="007140C1"/>
    <w:rsid w:val="00734B2B"/>
    <w:rsid w:val="007C0A38"/>
    <w:rsid w:val="007F1F93"/>
    <w:rsid w:val="00820CB0"/>
    <w:rsid w:val="008509D7"/>
    <w:rsid w:val="00887B3E"/>
    <w:rsid w:val="009642F4"/>
    <w:rsid w:val="009733F7"/>
    <w:rsid w:val="009E3BA2"/>
    <w:rsid w:val="009F7787"/>
    <w:rsid w:val="00A07020"/>
    <w:rsid w:val="00AA7748"/>
    <w:rsid w:val="00AC7C53"/>
    <w:rsid w:val="00AE6326"/>
    <w:rsid w:val="00B04A73"/>
    <w:rsid w:val="00B83364"/>
    <w:rsid w:val="00B91431"/>
    <w:rsid w:val="00C231C5"/>
    <w:rsid w:val="00CA6C5B"/>
    <w:rsid w:val="00D94B6A"/>
    <w:rsid w:val="00DC734B"/>
    <w:rsid w:val="00E65072"/>
    <w:rsid w:val="00EE68BC"/>
    <w:rsid w:val="00EE79BC"/>
    <w:rsid w:val="00EF528A"/>
    <w:rsid w:val="00FA41A9"/>
    <w:rsid w:val="00FF4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27DBA5"/>
  <w15:chartTrackingRefBased/>
  <w15:docId w15:val="{38B4A773-B20F-49CB-B187-25140A0F3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642F4"/>
    <w:rPr>
      <w:sz w:val="21"/>
      <w:szCs w:val="21"/>
    </w:rPr>
  </w:style>
  <w:style w:type="paragraph" w:styleId="a4">
    <w:name w:val="annotation text"/>
    <w:basedOn w:val="a"/>
    <w:link w:val="Char"/>
    <w:uiPriority w:val="99"/>
    <w:semiHidden/>
    <w:unhideWhenUsed/>
    <w:rsid w:val="009642F4"/>
    <w:pPr>
      <w:jc w:val="left"/>
    </w:pPr>
  </w:style>
  <w:style w:type="character" w:customStyle="1" w:styleId="Char">
    <w:name w:val="批注文字 Char"/>
    <w:basedOn w:val="a0"/>
    <w:link w:val="a4"/>
    <w:uiPriority w:val="99"/>
    <w:semiHidden/>
    <w:rsid w:val="009642F4"/>
  </w:style>
  <w:style w:type="paragraph" w:styleId="a5">
    <w:name w:val="annotation subject"/>
    <w:basedOn w:val="a4"/>
    <w:next w:val="a4"/>
    <w:link w:val="Char0"/>
    <w:uiPriority w:val="99"/>
    <w:semiHidden/>
    <w:unhideWhenUsed/>
    <w:rsid w:val="009642F4"/>
    <w:rPr>
      <w:b/>
      <w:bCs/>
    </w:rPr>
  </w:style>
  <w:style w:type="character" w:customStyle="1" w:styleId="Char0">
    <w:name w:val="批注主题 Char"/>
    <w:basedOn w:val="Char"/>
    <w:link w:val="a5"/>
    <w:uiPriority w:val="99"/>
    <w:semiHidden/>
    <w:rsid w:val="009642F4"/>
    <w:rPr>
      <w:b/>
      <w:bCs/>
    </w:rPr>
  </w:style>
  <w:style w:type="paragraph" w:styleId="a6">
    <w:name w:val="Balloon Text"/>
    <w:basedOn w:val="a"/>
    <w:link w:val="Char1"/>
    <w:uiPriority w:val="99"/>
    <w:semiHidden/>
    <w:unhideWhenUsed/>
    <w:rsid w:val="009642F4"/>
    <w:rPr>
      <w:sz w:val="18"/>
      <w:szCs w:val="18"/>
    </w:rPr>
  </w:style>
  <w:style w:type="character" w:customStyle="1" w:styleId="Char1">
    <w:name w:val="批注框文本 Char"/>
    <w:basedOn w:val="a0"/>
    <w:link w:val="a6"/>
    <w:uiPriority w:val="99"/>
    <w:semiHidden/>
    <w:rsid w:val="009642F4"/>
    <w:rPr>
      <w:sz w:val="18"/>
      <w:szCs w:val="18"/>
    </w:rPr>
  </w:style>
  <w:style w:type="paragraph" w:styleId="a7">
    <w:name w:val="header"/>
    <w:basedOn w:val="a"/>
    <w:link w:val="Char2"/>
    <w:uiPriority w:val="99"/>
    <w:unhideWhenUsed/>
    <w:rsid w:val="00734B2B"/>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734B2B"/>
    <w:rPr>
      <w:sz w:val="18"/>
      <w:szCs w:val="18"/>
    </w:rPr>
  </w:style>
  <w:style w:type="paragraph" w:styleId="a8">
    <w:name w:val="footer"/>
    <w:basedOn w:val="a"/>
    <w:link w:val="Char3"/>
    <w:uiPriority w:val="99"/>
    <w:unhideWhenUsed/>
    <w:rsid w:val="00734B2B"/>
    <w:pPr>
      <w:tabs>
        <w:tab w:val="center" w:pos="4153"/>
        <w:tab w:val="right" w:pos="8306"/>
      </w:tabs>
      <w:snapToGrid w:val="0"/>
      <w:jc w:val="left"/>
    </w:pPr>
    <w:rPr>
      <w:sz w:val="18"/>
      <w:szCs w:val="18"/>
    </w:rPr>
  </w:style>
  <w:style w:type="character" w:customStyle="1" w:styleId="Char3">
    <w:name w:val="页脚 Char"/>
    <w:basedOn w:val="a0"/>
    <w:link w:val="a8"/>
    <w:uiPriority w:val="99"/>
    <w:rsid w:val="00734B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0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292</Words>
  <Characters>1670</Characters>
  <Application>Microsoft Office Word</Application>
  <DocSecurity>8</DocSecurity>
  <Lines>13</Lines>
  <Paragraphs>3</Paragraphs>
  <ScaleCrop>false</ScaleCrop>
  <Company>E FUND</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莫子乔</dc:creator>
  <cp:keywords/>
  <dc:description/>
  <cp:lastModifiedBy>梁美</cp:lastModifiedBy>
  <cp:revision>3</cp:revision>
  <cp:lastPrinted>2023-07-07T01:01:00Z</cp:lastPrinted>
  <dcterms:created xsi:type="dcterms:W3CDTF">2023-07-04T00:45:00Z</dcterms:created>
  <dcterms:modified xsi:type="dcterms:W3CDTF">2023-07-07T01:02:00Z</dcterms:modified>
</cp:coreProperties>
</file>